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8B" w:rsidRPr="00A95B30" w:rsidRDefault="00FB2AA6" w:rsidP="00055051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持</w:t>
      </w:r>
      <w:r w:rsidRPr="00A95B30">
        <w:rPr>
          <w:rFonts w:hint="eastAsia"/>
          <w:sz w:val="24"/>
          <w:szCs w:val="24"/>
        </w:rPr>
        <w:t>続可能な観光地に向けた</w:t>
      </w:r>
      <w:r w:rsidR="00EF55C8" w:rsidRPr="00A95B30">
        <w:rPr>
          <w:rFonts w:hint="eastAsia"/>
          <w:sz w:val="24"/>
          <w:szCs w:val="24"/>
        </w:rPr>
        <w:t>「しりべしサステ</w:t>
      </w:r>
      <w:r w:rsidR="00911C2A" w:rsidRPr="00A95B30">
        <w:rPr>
          <w:rFonts w:hint="eastAsia"/>
          <w:sz w:val="24"/>
          <w:szCs w:val="24"/>
        </w:rPr>
        <w:t>ナブルスタイル」実施要領</w:t>
      </w: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１　目的</w:t>
      </w:r>
    </w:p>
    <w:p w:rsidR="00911C2A" w:rsidRPr="00A95B30" w:rsidRDefault="00C46D45" w:rsidP="00B336CC">
      <w:pPr>
        <w:spacing w:line="360" w:lineRule="exact"/>
        <w:ind w:left="142" w:hangingChars="59" w:hanging="142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B336CC" w:rsidRPr="00A95B30">
        <w:rPr>
          <w:rFonts w:hint="eastAsia"/>
          <w:sz w:val="24"/>
          <w:szCs w:val="24"/>
        </w:rPr>
        <w:t xml:space="preserve"> </w:t>
      </w:r>
      <w:r w:rsidRPr="00A95B30">
        <w:rPr>
          <w:rFonts w:hint="eastAsia"/>
          <w:sz w:val="24"/>
          <w:szCs w:val="24"/>
        </w:rPr>
        <w:t>この要領は、</w:t>
      </w:r>
      <w:r w:rsidR="00242C3E" w:rsidRPr="00A95B30">
        <w:rPr>
          <w:rFonts w:hint="eastAsia"/>
          <w:sz w:val="24"/>
          <w:szCs w:val="24"/>
        </w:rPr>
        <w:t>恵まれた自然や文化を有する後志地域を「持続可能な観光地」として</w:t>
      </w:r>
      <w:r w:rsidR="001F66B3" w:rsidRPr="00A95B30">
        <w:rPr>
          <w:rFonts w:hint="eastAsia"/>
          <w:sz w:val="24"/>
          <w:szCs w:val="24"/>
        </w:rPr>
        <w:t>いくため</w:t>
      </w:r>
      <w:r w:rsidR="00242C3E" w:rsidRPr="00A95B30">
        <w:rPr>
          <w:rFonts w:hint="eastAsia"/>
          <w:sz w:val="24"/>
          <w:szCs w:val="24"/>
        </w:rPr>
        <w:t>、</w:t>
      </w:r>
      <w:r w:rsidRPr="00A95B30">
        <w:rPr>
          <w:rFonts w:hint="eastAsia"/>
          <w:sz w:val="24"/>
          <w:szCs w:val="24"/>
        </w:rPr>
        <w:t>後志</w:t>
      </w:r>
      <w:r w:rsidR="002F7027" w:rsidRPr="00A95B30">
        <w:rPr>
          <w:rFonts w:hint="eastAsia"/>
          <w:sz w:val="24"/>
          <w:szCs w:val="24"/>
        </w:rPr>
        <w:t>管内の観光</w:t>
      </w:r>
      <w:r w:rsidR="00E02CE6" w:rsidRPr="00A95B30">
        <w:rPr>
          <w:rFonts w:hint="eastAsia"/>
          <w:sz w:val="24"/>
          <w:szCs w:val="24"/>
        </w:rPr>
        <w:t>関連</w:t>
      </w:r>
      <w:r w:rsidR="002F7027" w:rsidRPr="00A95B30">
        <w:rPr>
          <w:rFonts w:hint="eastAsia"/>
          <w:sz w:val="24"/>
          <w:szCs w:val="24"/>
        </w:rPr>
        <w:t>事業者及び後志管内を訪れる観光客に対し、環境の負荷を軽減し、地域経済の循環に結びつく取組</w:t>
      </w:r>
      <w:r w:rsidR="00EF55C8" w:rsidRPr="00A95B30">
        <w:rPr>
          <w:rFonts w:hint="eastAsia"/>
          <w:sz w:val="24"/>
          <w:szCs w:val="24"/>
        </w:rPr>
        <w:t>（しりべしサステ</w:t>
      </w:r>
      <w:r w:rsidR="00E424A1" w:rsidRPr="00A95B30">
        <w:rPr>
          <w:rFonts w:hint="eastAsia"/>
          <w:sz w:val="24"/>
          <w:szCs w:val="24"/>
        </w:rPr>
        <w:t>ナブルスタイル）</w:t>
      </w:r>
      <w:r w:rsidR="002F7027" w:rsidRPr="00A95B30">
        <w:rPr>
          <w:rFonts w:hint="eastAsia"/>
          <w:sz w:val="24"/>
          <w:szCs w:val="24"/>
        </w:rPr>
        <w:t>を提示して、</w:t>
      </w:r>
      <w:r w:rsidR="00242C3E" w:rsidRPr="00A95B30">
        <w:rPr>
          <w:rFonts w:hint="eastAsia"/>
          <w:sz w:val="24"/>
          <w:szCs w:val="24"/>
        </w:rPr>
        <w:t>その実践を</w:t>
      </w:r>
      <w:r w:rsidR="002F7027" w:rsidRPr="00A95B30">
        <w:rPr>
          <w:rFonts w:hint="eastAsia"/>
          <w:sz w:val="24"/>
          <w:szCs w:val="24"/>
        </w:rPr>
        <w:t>促すとともに、取組</w:t>
      </w:r>
      <w:r w:rsidR="00637358" w:rsidRPr="00A95B30">
        <w:rPr>
          <w:rFonts w:hint="eastAsia"/>
          <w:sz w:val="24"/>
          <w:szCs w:val="24"/>
        </w:rPr>
        <w:t>に賛同する</w:t>
      </w:r>
      <w:r w:rsidR="002F7027" w:rsidRPr="00A95B30">
        <w:rPr>
          <w:rFonts w:hint="eastAsia"/>
          <w:sz w:val="24"/>
          <w:szCs w:val="24"/>
        </w:rPr>
        <w:t>観光関連事業者を登録し、</w:t>
      </w:r>
      <w:r w:rsidR="00242C3E" w:rsidRPr="00A95B30">
        <w:rPr>
          <w:rFonts w:hint="eastAsia"/>
          <w:sz w:val="24"/>
          <w:szCs w:val="24"/>
        </w:rPr>
        <w:t>情報発信す</w:t>
      </w:r>
      <w:r w:rsidR="002F7027" w:rsidRPr="00A95B30">
        <w:rPr>
          <w:rFonts w:hint="eastAsia"/>
          <w:sz w:val="24"/>
          <w:szCs w:val="24"/>
        </w:rPr>
        <w:t>ることにより、</w:t>
      </w:r>
      <w:r w:rsidR="00A61662" w:rsidRPr="00A95B30">
        <w:rPr>
          <w:rFonts w:hint="eastAsia"/>
          <w:sz w:val="24"/>
          <w:szCs w:val="24"/>
        </w:rPr>
        <w:t>地域の魅力を高め、</w:t>
      </w:r>
      <w:r w:rsidRPr="00A95B30">
        <w:rPr>
          <w:rFonts w:hint="eastAsia"/>
          <w:sz w:val="24"/>
          <w:szCs w:val="24"/>
        </w:rPr>
        <w:t>持続可能な観光</w:t>
      </w:r>
      <w:r w:rsidR="00242C3E" w:rsidRPr="00A95B30">
        <w:rPr>
          <w:rFonts w:hint="eastAsia"/>
          <w:sz w:val="24"/>
          <w:szCs w:val="24"/>
        </w:rPr>
        <w:t>に対する意識の向上を図る</w:t>
      </w:r>
      <w:r w:rsidR="002F7027" w:rsidRPr="00A95B30">
        <w:rPr>
          <w:rFonts w:hint="eastAsia"/>
          <w:sz w:val="24"/>
          <w:szCs w:val="24"/>
        </w:rPr>
        <w:t>ことを目的とする。</w:t>
      </w: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２  </w:t>
      </w:r>
      <w:r w:rsidR="00C46D45" w:rsidRPr="00A95B30">
        <w:rPr>
          <w:rFonts w:hint="eastAsia"/>
          <w:sz w:val="24"/>
          <w:szCs w:val="24"/>
        </w:rPr>
        <w:t>観光関連事業者</w:t>
      </w:r>
    </w:p>
    <w:p w:rsidR="006C3AE8" w:rsidRPr="00A95B30" w:rsidRDefault="006C3AE8" w:rsidP="00C46D45">
      <w:pPr>
        <w:spacing w:line="360" w:lineRule="exact"/>
        <w:ind w:left="240" w:hangingChars="100" w:hanging="24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    </w:t>
      </w:r>
      <w:r w:rsidR="00055051" w:rsidRPr="00A95B30">
        <w:rPr>
          <w:rFonts w:hint="eastAsia"/>
          <w:sz w:val="24"/>
          <w:szCs w:val="24"/>
        </w:rPr>
        <w:t>この</w:t>
      </w:r>
      <w:r w:rsidR="00C46D45" w:rsidRPr="00A95B30">
        <w:rPr>
          <w:rFonts w:hint="eastAsia"/>
          <w:sz w:val="24"/>
          <w:szCs w:val="24"/>
        </w:rPr>
        <w:t>要領において、</w:t>
      </w:r>
      <w:r w:rsidR="002F7027" w:rsidRPr="00A95B30">
        <w:rPr>
          <w:rFonts w:hint="eastAsia"/>
          <w:sz w:val="24"/>
          <w:szCs w:val="24"/>
        </w:rPr>
        <w:t>「</w:t>
      </w:r>
      <w:r w:rsidR="00C46D45" w:rsidRPr="00A95B30">
        <w:rPr>
          <w:rFonts w:hint="eastAsia"/>
          <w:sz w:val="24"/>
          <w:szCs w:val="24"/>
        </w:rPr>
        <w:t>観光</w:t>
      </w:r>
      <w:r w:rsidR="00C5244B" w:rsidRPr="00A95B30">
        <w:rPr>
          <w:rFonts w:hint="eastAsia"/>
          <w:sz w:val="24"/>
          <w:szCs w:val="24"/>
        </w:rPr>
        <w:t>関連</w:t>
      </w:r>
      <w:r w:rsidR="00C46D45" w:rsidRPr="00A95B30">
        <w:rPr>
          <w:rFonts w:hint="eastAsia"/>
          <w:sz w:val="24"/>
          <w:szCs w:val="24"/>
        </w:rPr>
        <w:t>事業者</w:t>
      </w:r>
      <w:r w:rsidR="002F7027" w:rsidRPr="00A95B30">
        <w:rPr>
          <w:rFonts w:hint="eastAsia"/>
          <w:sz w:val="24"/>
          <w:szCs w:val="24"/>
        </w:rPr>
        <w:t>」</w:t>
      </w:r>
      <w:r w:rsidR="00C46D45" w:rsidRPr="00A95B30">
        <w:rPr>
          <w:rFonts w:hint="eastAsia"/>
          <w:sz w:val="24"/>
          <w:szCs w:val="24"/>
        </w:rPr>
        <w:t>とは</w:t>
      </w:r>
      <w:r w:rsidR="00055051" w:rsidRPr="00A95B30">
        <w:rPr>
          <w:rFonts w:hint="eastAsia"/>
          <w:sz w:val="24"/>
          <w:szCs w:val="24"/>
        </w:rPr>
        <w:t>、</w:t>
      </w:r>
      <w:r w:rsidR="002B6C1F" w:rsidRPr="00A95B30">
        <w:rPr>
          <w:rFonts w:hint="eastAsia"/>
          <w:sz w:val="24"/>
          <w:szCs w:val="24"/>
        </w:rPr>
        <w:t>後志管内で営業している</w:t>
      </w:r>
      <w:r w:rsidR="00C46D45" w:rsidRPr="00A95B30">
        <w:rPr>
          <w:rFonts w:hint="eastAsia"/>
          <w:sz w:val="24"/>
          <w:szCs w:val="24"/>
        </w:rPr>
        <w:t>宿泊、飲食</w:t>
      </w:r>
      <w:r w:rsidR="00242C3E" w:rsidRPr="00A95B30">
        <w:rPr>
          <w:rFonts w:hint="eastAsia"/>
          <w:sz w:val="24"/>
          <w:szCs w:val="24"/>
        </w:rPr>
        <w:t>、</w:t>
      </w:r>
      <w:r w:rsidR="0085142C" w:rsidRPr="00A95B30">
        <w:rPr>
          <w:rFonts w:hint="eastAsia"/>
          <w:sz w:val="24"/>
          <w:szCs w:val="24"/>
        </w:rPr>
        <w:t>土産、交通、アクティビティ</w:t>
      </w:r>
      <w:r w:rsidR="002B6C1F" w:rsidRPr="00A95B30">
        <w:rPr>
          <w:rFonts w:hint="eastAsia"/>
          <w:sz w:val="24"/>
          <w:szCs w:val="24"/>
        </w:rPr>
        <w:t>など観光関連の事業を行う者とする</w:t>
      </w:r>
      <w:r w:rsidR="00C46D45" w:rsidRPr="00A95B30">
        <w:rPr>
          <w:rFonts w:hint="eastAsia"/>
          <w:sz w:val="24"/>
          <w:szCs w:val="24"/>
        </w:rPr>
        <w:t>。</w:t>
      </w: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３　</w:t>
      </w:r>
      <w:r w:rsidR="00EF55C8" w:rsidRPr="00A95B30">
        <w:rPr>
          <w:rFonts w:hint="eastAsia"/>
          <w:sz w:val="24"/>
          <w:szCs w:val="24"/>
        </w:rPr>
        <w:t>しりべしサステ</w:t>
      </w:r>
      <w:r w:rsidR="002B6C1F" w:rsidRPr="00A95B30">
        <w:rPr>
          <w:rFonts w:hint="eastAsia"/>
          <w:sz w:val="24"/>
          <w:szCs w:val="24"/>
        </w:rPr>
        <w:t>ナブルスタイルの</w:t>
      </w:r>
      <w:r w:rsidRPr="00A95B30">
        <w:rPr>
          <w:rFonts w:hint="eastAsia"/>
          <w:sz w:val="24"/>
          <w:szCs w:val="24"/>
        </w:rPr>
        <w:t>取組内容</w:t>
      </w:r>
    </w:p>
    <w:p w:rsidR="002B6C1F" w:rsidRPr="00A95B30" w:rsidRDefault="002B6C1F" w:rsidP="002B6C1F">
      <w:pPr>
        <w:spacing w:line="360" w:lineRule="exact"/>
        <w:ind w:leftChars="100" w:left="210" w:firstLineChars="100" w:firstLine="24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後志総合振興局（以下「振興局」という。）は、観光関連事業者及び後志管内を訪れる観光客に対し、</w:t>
      </w:r>
      <w:r w:rsidR="00741392" w:rsidRPr="00A95B30">
        <w:rPr>
          <w:rFonts w:hint="eastAsia"/>
          <w:sz w:val="24"/>
          <w:szCs w:val="24"/>
        </w:rPr>
        <w:t>「</w:t>
      </w:r>
      <w:r w:rsidR="00EF55C8" w:rsidRPr="00A95B30">
        <w:rPr>
          <w:rFonts w:hint="eastAsia"/>
          <w:sz w:val="24"/>
          <w:szCs w:val="24"/>
        </w:rPr>
        <w:t>しりべしサステ</w:t>
      </w:r>
      <w:r w:rsidRPr="00A95B30">
        <w:rPr>
          <w:rFonts w:hint="eastAsia"/>
          <w:sz w:val="24"/>
          <w:szCs w:val="24"/>
        </w:rPr>
        <w:t>ナブルスタイル</w:t>
      </w:r>
      <w:r w:rsidR="00741392" w:rsidRPr="00A95B30">
        <w:rPr>
          <w:rFonts w:hint="eastAsia"/>
          <w:sz w:val="24"/>
          <w:szCs w:val="24"/>
        </w:rPr>
        <w:t>」</w:t>
      </w:r>
      <w:r w:rsidRPr="00A95B30">
        <w:rPr>
          <w:rFonts w:hint="eastAsia"/>
          <w:sz w:val="24"/>
          <w:szCs w:val="24"/>
        </w:rPr>
        <w:t>として、次に掲げる取組を促す。</w:t>
      </w:r>
    </w:p>
    <w:p w:rsidR="00055051" w:rsidRPr="00A95B30" w:rsidRDefault="00055051" w:rsidP="00055051">
      <w:pPr>
        <w:pStyle w:val="a3"/>
        <w:numPr>
          <w:ilvl w:val="0"/>
          <w:numId w:val="3"/>
        </w:numPr>
        <w:spacing w:line="360" w:lineRule="exact"/>
        <w:ind w:leftChars="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観光</w:t>
      </w:r>
      <w:r w:rsidR="006D581A" w:rsidRPr="00A95B30">
        <w:rPr>
          <w:rFonts w:hint="eastAsia"/>
          <w:sz w:val="24"/>
          <w:szCs w:val="24"/>
        </w:rPr>
        <w:t>関連</w:t>
      </w:r>
      <w:r w:rsidRPr="00A95B30">
        <w:rPr>
          <w:rFonts w:hint="eastAsia"/>
          <w:sz w:val="24"/>
          <w:szCs w:val="24"/>
        </w:rPr>
        <w:t>事業者</w:t>
      </w:r>
      <w:r w:rsidR="002C4CED" w:rsidRPr="00A95B30">
        <w:rPr>
          <w:rFonts w:hint="eastAsia"/>
          <w:sz w:val="24"/>
          <w:szCs w:val="24"/>
        </w:rPr>
        <w:t>に促す取組</w:t>
      </w:r>
    </w:p>
    <w:p w:rsidR="00055051" w:rsidRPr="00A95B30" w:rsidRDefault="007301E6" w:rsidP="002B6C1F">
      <w:pPr>
        <w:spacing w:line="360" w:lineRule="exact"/>
        <w:ind w:left="480" w:hangingChars="200" w:hanging="48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Pr="00A95B30">
        <w:rPr>
          <w:rFonts w:hint="eastAsia"/>
          <w:sz w:val="24"/>
          <w:szCs w:val="24"/>
        </w:rPr>
        <w:t>ア　ゴミの削減</w:t>
      </w:r>
      <w:r w:rsidR="00121EF9" w:rsidRPr="00A95B30">
        <w:rPr>
          <w:rFonts w:hint="eastAsia"/>
          <w:sz w:val="24"/>
          <w:szCs w:val="24"/>
        </w:rPr>
        <w:t>（</w:t>
      </w:r>
      <w:r w:rsidR="002B6C1F" w:rsidRPr="00A95B30">
        <w:rPr>
          <w:rFonts w:hint="eastAsia"/>
          <w:sz w:val="24"/>
          <w:szCs w:val="24"/>
        </w:rPr>
        <w:t>マイ</w:t>
      </w:r>
      <w:r w:rsidR="00121EF9" w:rsidRPr="00A95B30">
        <w:rPr>
          <w:rFonts w:hint="eastAsia"/>
          <w:sz w:val="24"/>
          <w:szCs w:val="24"/>
        </w:rPr>
        <w:t>ボトルやアメニティ</w:t>
      </w:r>
      <w:r w:rsidR="00A22D03" w:rsidRPr="00A95B30">
        <w:rPr>
          <w:rFonts w:hint="eastAsia"/>
          <w:sz w:val="24"/>
          <w:szCs w:val="24"/>
        </w:rPr>
        <w:t>類など</w:t>
      </w:r>
      <w:r w:rsidR="00121EF9" w:rsidRPr="00A95B30">
        <w:rPr>
          <w:rFonts w:hint="eastAsia"/>
          <w:sz w:val="24"/>
          <w:szCs w:val="24"/>
        </w:rPr>
        <w:t>の持参の推奨を含む</w:t>
      </w:r>
      <w:r w:rsidR="00A22D03" w:rsidRPr="00A95B30">
        <w:rPr>
          <w:rFonts w:hint="eastAsia"/>
          <w:sz w:val="24"/>
          <w:szCs w:val="24"/>
        </w:rPr>
        <w:t>。</w:t>
      </w:r>
      <w:r w:rsidR="00121EF9" w:rsidRPr="00A95B30">
        <w:rPr>
          <w:rFonts w:hint="eastAsia"/>
          <w:sz w:val="24"/>
          <w:szCs w:val="24"/>
        </w:rPr>
        <w:t>）</w:t>
      </w:r>
    </w:p>
    <w:p w:rsidR="007301E6" w:rsidRPr="00A95B30" w:rsidRDefault="007301E6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Pr="00A95B30">
        <w:rPr>
          <w:rFonts w:hint="eastAsia"/>
          <w:sz w:val="24"/>
          <w:szCs w:val="24"/>
        </w:rPr>
        <w:t>イ　食品ロスの削減</w:t>
      </w:r>
      <w:r w:rsidR="00EF7883" w:rsidRPr="00A95B30">
        <w:rPr>
          <w:rFonts w:hint="eastAsia"/>
          <w:sz w:val="24"/>
          <w:szCs w:val="24"/>
        </w:rPr>
        <w:t>（食品廃棄物のリサイクルを含む。）</w:t>
      </w:r>
    </w:p>
    <w:p w:rsidR="00121EF9" w:rsidRPr="00A95B30" w:rsidRDefault="00121EF9" w:rsidP="00121EF9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Pr="00A95B30">
        <w:rPr>
          <w:rFonts w:hint="eastAsia"/>
          <w:sz w:val="24"/>
          <w:szCs w:val="24"/>
        </w:rPr>
        <w:t>ウ　プラスチックを使用しないアメニティやボトル等の使用</w:t>
      </w:r>
    </w:p>
    <w:p w:rsidR="00D0560D" w:rsidRPr="00A95B30" w:rsidRDefault="00D0560D" w:rsidP="00121EF9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EF7883" w:rsidRPr="00A95B30">
        <w:rPr>
          <w:rFonts w:hint="eastAsia"/>
          <w:sz w:val="24"/>
          <w:szCs w:val="24"/>
        </w:rPr>
        <w:t xml:space="preserve">　エ</w:t>
      </w:r>
      <w:r w:rsidRPr="00A95B30">
        <w:rPr>
          <w:rFonts w:hint="eastAsia"/>
          <w:sz w:val="24"/>
          <w:szCs w:val="24"/>
        </w:rPr>
        <w:t xml:space="preserve">　省エネ</w:t>
      </w:r>
    </w:p>
    <w:p w:rsidR="00D0560D" w:rsidRPr="00A95B30" w:rsidRDefault="00EF7883" w:rsidP="00121EF9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オ</w:t>
      </w:r>
      <w:r w:rsidR="00D0560D" w:rsidRPr="00A95B30">
        <w:rPr>
          <w:rFonts w:hint="eastAsia"/>
          <w:sz w:val="24"/>
          <w:szCs w:val="24"/>
        </w:rPr>
        <w:t xml:space="preserve">　節水</w:t>
      </w:r>
    </w:p>
    <w:p w:rsidR="00121EF9" w:rsidRPr="00A95B30" w:rsidRDefault="00121EF9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="00EF7883" w:rsidRPr="00A95B30">
        <w:rPr>
          <w:rFonts w:hint="eastAsia"/>
          <w:sz w:val="24"/>
          <w:szCs w:val="24"/>
        </w:rPr>
        <w:t>カ</w:t>
      </w:r>
      <w:r w:rsidRPr="00A95B30">
        <w:rPr>
          <w:rFonts w:hint="eastAsia"/>
          <w:sz w:val="24"/>
          <w:szCs w:val="24"/>
        </w:rPr>
        <w:t xml:space="preserve">　連泊</w:t>
      </w:r>
      <w:r w:rsidR="00D0560D" w:rsidRPr="00A95B30">
        <w:rPr>
          <w:rFonts w:hint="eastAsia"/>
          <w:sz w:val="24"/>
          <w:szCs w:val="24"/>
        </w:rPr>
        <w:t>時</w:t>
      </w:r>
      <w:r w:rsidRPr="00A95B30">
        <w:rPr>
          <w:rFonts w:hint="eastAsia"/>
          <w:sz w:val="24"/>
          <w:szCs w:val="24"/>
        </w:rPr>
        <w:t>に希望する宿泊者には清掃やリネン交換をしない旨の取組</w:t>
      </w:r>
    </w:p>
    <w:p w:rsidR="007301E6" w:rsidRPr="00A95B30" w:rsidRDefault="007301E6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="00EF7883" w:rsidRPr="00A95B30">
        <w:rPr>
          <w:rFonts w:hint="eastAsia"/>
          <w:sz w:val="24"/>
          <w:szCs w:val="24"/>
        </w:rPr>
        <w:t>キ</w:t>
      </w:r>
      <w:r w:rsidRPr="00A95B30">
        <w:rPr>
          <w:rFonts w:hint="eastAsia"/>
          <w:sz w:val="24"/>
          <w:szCs w:val="24"/>
        </w:rPr>
        <w:t xml:space="preserve">　後志管内の食材の地産地消</w:t>
      </w:r>
    </w:p>
    <w:p w:rsidR="007301E6" w:rsidRPr="00A95B30" w:rsidRDefault="007301E6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="00EF7883" w:rsidRPr="00A95B30">
        <w:rPr>
          <w:rFonts w:hint="eastAsia"/>
          <w:sz w:val="24"/>
          <w:szCs w:val="24"/>
        </w:rPr>
        <w:t>ク</w:t>
      </w:r>
      <w:r w:rsidRPr="00A95B30">
        <w:rPr>
          <w:rFonts w:hint="eastAsia"/>
          <w:sz w:val="24"/>
          <w:szCs w:val="24"/>
        </w:rPr>
        <w:t xml:space="preserve">　後志管内の地域木材の活用</w:t>
      </w:r>
    </w:p>
    <w:p w:rsidR="007301E6" w:rsidRPr="00A95B30" w:rsidRDefault="007301E6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="00EF7883" w:rsidRPr="00A95B30">
        <w:rPr>
          <w:rFonts w:hint="eastAsia"/>
          <w:sz w:val="24"/>
          <w:szCs w:val="24"/>
        </w:rPr>
        <w:t>ケ</w:t>
      </w:r>
      <w:r w:rsidRPr="00A95B30">
        <w:rPr>
          <w:rFonts w:hint="eastAsia"/>
          <w:sz w:val="24"/>
          <w:szCs w:val="24"/>
        </w:rPr>
        <w:t xml:space="preserve">　地域の</w:t>
      </w:r>
      <w:r w:rsidR="00D0560D" w:rsidRPr="00A95B30">
        <w:rPr>
          <w:rFonts w:hint="eastAsia"/>
          <w:sz w:val="24"/>
          <w:szCs w:val="24"/>
        </w:rPr>
        <w:t>清掃活動や自然</w:t>
      </w:r>
      <w:r w:rsidRPr="00A95B30">
        <w:rPr>
          <w:rFonts w:hint="eastAsia"/>
          <w:sz w:val="24"/>
          <w:szCs w:val="24"/>
        </w:rPr>
        <w:t>保護活動</w:t>
      </w:r>
      <w:r w:rsidR="00D0560D" w:rsidRPr="00A95B30">
        <w:rPr>
          <w:rFonts w:hint="eastAsia"/>
          <w:sz w:val="24"/>
          <w:szCs w:val="24"/>
        </w:rPr>
        <w:t>など</w:t>
      </w:r>
      <w:r w:rsidRPr="00A95B30">
        <w:rPr>
          <w:rFonts w:hint="eastAsia"/>
          <w:sz w:val="24"/>
          <w:szCs w:val="24"/>
        </w:rPr>
        <w:t>への参加</w:t>
      </w:r>
    </w:p>
    <w:p w:rsidR="007301E6" w:rsidRPr="00A95B30" w:rsidRDefault="00D0560D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C5244B" w:rsidRPr="00A95B30">
        <w:rPr>
          <w:rFonts w:hint="eastAsia"/>
          <w:sz w:val="24"/>
          <w:szCs w:val="24"/>
        </w:rPr>
        <w:t xml:space="preserve">　</w:t>
      </w:r>
      <w:r w:rsidR="00EF7883" w:rsidRPr="00A95B30">
        <w:rPr>
          <w:rFonts w:hint="eastAsia"/>
          <w:sz w:val="24"/>
          <w:szCs w:val="24"/>
        </w:rPr>
        <w:t>コ</w:t>
      </w:r>
      <w:r w:rsidR="007301E6" w:rsidRPr="00A95B30">
        <w:rPr>
          <w:rFonts w:hint="eastAsia"/>
          <w:sz w:val="24"/>
          <w:szCs w:val="24"/>
        </w:rPr>
        <w:t xml:space="preserve">　観光客への持続可能な観光に向けた取組の呼びかけ</w:t>
      </w:r>
    </w:p>
    <w:p w:rsidR="006D0208" w:rsidRPr="00A95B30" w:rsidRDefault="003462D5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</w:t>
      </w:r>
      <w:r w:rsidR="00EF7883" w:rsidRPr="00A95B30">
        <w:rPr>
          <w:rFonts w:hint="eastAsia"/>
          <w:sz w:val="24"/>
          <w:szCs w:val="24"/>
        </w:rPr>
        <w:t>サ</w:t>
      </w:r>
      <w:r w:rsidR="00373CE3" w:rsidRPr="00A95B30">
        <w:rPr>
          <w:rFonts w:hint="eastAsia"/>
          <w:sz w:val="24"/>
          <w:szCs w:val="24"/>
        </w:rPr>
        <w:t xml:space="preserve">　上記以外の</w:t>
      </w:r>
      <w:r w:rsidR="00240DAE" w:rsidRPr="00A95B30">
        <w:rPr>
          <w:rFonts w:hint="eastAsia"/>
          <w:sz w:val="24"/>
          <w:szCs w:val="24"/>
        </w:rPr>
        <w:t>持続可能な観光</w:t>
      </w:r>
      <w:r w:rsidR="001F66B3" w:rsidRPr="00A95B30">
        <w:rPr>
          <w:rFonts w:hint="eastAsia"/>
          <w:sz w:val="24"/>
          <w:szCs w:val="24"/>
        </w:rPr>
        <w:t>地づくり</w:t>
      </w:r>
      <w:r w:rsidR="00240DAE" w:rsidRPr="00A95B30">
        <w:rPr>
          <w:rFonts w:hint="eastAsia"/>
          <w:sz w:val="24"/>
          <w:szCs w:val="24"/>
        </w:rPr>
        <w:t>に結びつく</w:t>
      </w:r>
      <w:r w:rsidR="006D0208" w:rsidRPr="00A95B30">
        <w:rPr>
          <w:rFonts w:hint="eastAsia"/>
          <w:sz w:val="24"/>
          <w:szCs w:val="24"/>
        </w:rPr>
        <w:t>取組</w:t>
      </w:r>
    </w:p>
    <w:p w:rsidR="00055051" w:rsidRPr="00A95B30" w:rsidRDefault="002C4CED" w:rsidP="00E45578">
      <w:pPr>
        <w:pStyle w:val="a3"/>
        <w:numPr>
          <w:ilvl w:val="0"/>
          <w:numId w:val="3"/>
        </w:numPr>
        <w:spacing w:line="360" w:lineRule="exact"/>
        <w:ind w:leftChars="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観光客に促す取組</w:t>
      </w:r>
    </w:p>
    <w:p w:rsidR="00C5244B" w:rsidRPr="00A95B30" w:rsidRDefault="00E45578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</w:t>
      </w:r>
      <w:r w:rsidR="00055051" w:rsidRPr="00A95B30">
        <w:rPr>
          <w:rFonts w:hint="eastAsia"/>
          <w:sz w:val="24"/>
          <w:szCs w:val="24"/>
        </w:rPr>
        <w:t>ア</w:t>
      </w:r>
      <w:r w:rsidR="00C5244B" w:rsidRPr="00A95B30">
        <w:rPr>
          <w:rFonts w:hint="eastAsia"/>
          <w:sz w:val="24"/>
          <w:szCs w:val="24"/>
        </w:rPr>
        <w:t xml:space="preserve">　ゴミの持ち帰りや分別</w:t>
      </w:r>
    </w:p>
    <w:p w:rsidR="00C5244B" w:rsidRPr="00A95B30" w:rsidRDefault="00C5244B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イ　マイバックの持参</w:t>
      </w:r>
    </w:p>
    <w:p w:rsidR="00C5244B" w:rsidRPr="00A95B30" w:rsidRDefault="00C5244B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ウ　食品ロスの削減</w:t>
      </w:r>
    </w:p>
    <w:p w:rsidR="00C5244B" w:rsidRPr="00A95B30" w:rsidRDefault="00C5244B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エ　</w:t>
      </w:r>
      <w:r w:rsidR="004854D7" w:rsidRPr="00A95B30">
        <w:rPr>
          <w:rFonts w:hint="eastAsia"/>
          <w:sz w:val="24"/>
          <w:szCs w:val="24"/>
        </w:rPr>
        <w:t>マイ</w:t>
      </w:r>
      <w:r w:rsidRPr="00A95B30">
        <w:rPr>
          <w:rFonts w:hint="eastAsia"/>
          <w:sz w:val="24"/>
          <w:szCs w:val="24"/>
        </w:rPr>
        <w:t>箸や</w:t>
      </w:r>
      <w:r w:rsidR="004854D7" w:rsidRPr="00A95B30">
        <w:rPr>
          <w:rFonts w:hint="eastAsia"/>
          <w:sz w:val="24"/>
          <w:szCs w:val="24"/>
        </w:rPr>
        <w:t>マイ</w:t>
      </w:r>
      <w:r w:rsidRPr="00A95B30">
        <w:rPr>
          <w:rFonts w:hint="eastAsia"/>
          <w:sz w:val="24"/>
          <w:szCs w:val="24"/>
        </w:rPr>
        <w:t>ボトルの持参</w:t>
      </w:r>
    </w:p>
    <w:p w:rsidR="00C5244B" w:rsidRPr="00A95B30" w:rsidRDefault="00C5244B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オ　節電や節水</w:t>
      </w:r>
    </w:p>
    <w:p w:rsidR="00387136" w:rsidRPr="00A95B30" w:rsidRDefault="00387136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カ　アメニティ類の持参</w:t>
      </w:r>
    </w:p>
    <w:p w:rsidR="00C5244B" w:rsidRPr="00A95B30" w:rsidRDefault="00387136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キ　連泊時</w:t>
      </w:r>
      <w:r w:rsidR="00C5244B" w:rsidRPr="00A95B30">
        <w:rPr>
          <w:rFonts w:hint="eastAsia"/>
          <w:sz w:val="24"/>
          <w:szCs w:val="24"/>
        </w:rPr>
        <w:t>の清掃やリネン交換不要の意思表示</w:t>
      </w:r>
    </w:p>
    <w:p w:rsidR="00055051" w:rsidRPr="00A95B30" w:rsidRDefault="00C5244B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lastRenderedPageBreak/>
        <w:t xml:space="preserve">　　ク</w:t>
      </w:r>
      <w:r w:rsidR="00055051" w:rsidRPr="00A95B30">
        <w:rPr>
          <w:rFonts w:hint="eastAsia"/>
          <w:sz w:val="24"/>
          <w:szCs w:val="24"/>
        </w:rPr>
        <w:t xml:space="preserve">　</w:t>
      </w:r>
      <w:r w:rsidRPr="00A95B30">
        <w:rPr>
          <w:rFonts w:hint="eastAsia"/>
          <w:sz w:val="24"/>
          <w:szCs w:val="24"/>
        </w:rPr>
        <w:t>エコドライブ</w:t>
      </w:r>
    </w:p>
    <w:p w:rsidR="00C5244B" w:rsidRPr="00A95B30" w:rsidRDefault="00C5244B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ケ　公共交通機関の利用</w:t>
      </w:r>
    </w:p>
    <w:p w:rsidR="006D0208" w:rsidRPr="00A95B30" w:rsidRDefault="00C5244B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コ　レンタサイクルなど自転車の利用</w:t>
      </w: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</w:p>
    <w:p w:rsidR="00911C2A" w:rsidRPr="00A95B30" w:rsidRDefault="00EF55C8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４　しりべしサステ</w:t>
      </w:r>
      <w:r w:rsidR="00B62D1D" w:rsidRPr="00A95B30">
        <w:rPr>
          <w:rFonts w:hint="eastAsia"/>
          <w:sz w:val="24"/>
          <w:szCs w:val="24"/>
        </w:rPr>
        <w:t>ナブル</w:t>
      </w:r>
      <w:r w:rsidR="00790663" w:rsidRPr="00A95B30">
        <w:rPr>
          <w:rFonts w:hint="eastAsia"/>
          <w:sz w:val="24"/>
          <w:szCs w:val="24"/>
        </w:rPr>
        <w:t>スタイル</w:t>
      </w:r>
      <w:r w:rsidR="00637358" w:rsidRPr="00A95B30">
        <w:rPr>
          <w:rFonts w:hint="eastAsia"/>
          <w:sz w:val="24"/>
          <w:szCs w:val="24"/>
        </w:rPr>
        <w:t>取組企業</w:t>
      </w:r>
      <w:r w:rsidR="006A34F3" w:rsidRPr="00A95B30">
        <w:rPr>
          <w:rFonts w:hint="eastAsia"/>
          <w:sz w:val="24"/>
          <w:szCs w:val="24"/>
        </w:rPr>
        <w:t>の</w:t>
      </w:r>
      <w:r w:rsidR="00B62D1D" w:rsidRPr="00A95B30">
        <w:rPr>
          <w:rFonts w:hint="eastAsia"/>
          <w:sz w:val="24"/>
          <w:szCs w:val="24"/>
        </w:rPr>
        <w:t>登録</w:t>
      </w:r>
    </w:p>
    <w:p w:rsidR="00606F35" w:rsidRPr="00A95B30" w:rsidRDefault="00A17685" w:rsidP="00606F35">
      <w:pPr>
        <w:pStyle w:val="a3"/>
        <w:numPr>
          <w:ilvl w:val="0"/>
          <w:numId w:val="7"/>
        </w:numPr>
        <w:spacing w:line="360" w:lineRule="exact"/>
        <w:ind w:leftChars="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振興局は、</w:t>
      </w:r>
      <w:r w:rsidR="006D0208" w:rsidRPr="00A95B30">
        <w:rPr>
          <w:rFonts w:hint="eastAsia"/>
          <w:sz w:val="24"/>
          <w:szCs w:val="24"/>
        </w:rPr>
        <w:t>持続可能な観光地づくりの趣旨に賛同し、</w:t>
      </w:r>
      <w:r w:rsidRPr="00A95B30">
        <w:rPr>
          <w:rFonts w:hint="eastAsia"/>
          <w:sz w:val="24"/>
          <w:szCs w:val="24"/>
        </w:rPr>
        <w:t>３（１）に掲げる取組の</w:t>
      </w:r>
    </w:p>
    <w:p w:rsidR="00A17685" w:rsidRPr="00A95B30" w:rsidRDefault="00606F35" w:rsidP="00606F35">
      <w:pPr>
        <w:pStyle w:val="a3"/>
        <w:spacing w:line="360" w:lineRule="exact"/>
        <w:ind w:leftChars="100" w:left="450" w:hangingChars="100" w:hanging="24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</w:t>
      </w:r>
      <w:r w:rsidR="00A17685" w:rsidRPr="00A95B30">
        <w:rPr>
          <w:rFonts w:hint="eastAsia"/>
          <w:sz w:val="24"/>
          <w:szCs w:val="24"/>
        </w:rPr>
        <w:t>うち３項目以上</w:t>
      </w:r>
      <w:r w:rsidR="003817C3" w:rsidRPr="00A95B30">
        <w:rPr>
          <w:rFonts w:hint="eastAsia"/>
          <w:sz w:val="24"/>
          <w:szCs w:val="24"/>
        </w:rPr>
        <w:t>取り組むこととした</w:t>
      </w:r>
      <w:r w:rsidR="00A17685" w:rsidRPr="00A95B30">
        <w:rPr>
          <w:rFonts w:hint="eastAsia"/>
          <w:sz w:val="24"/>
          <w:szCs w:val="24"/>
        </w:rPr>
        <w:t>観光</w:t>
      </w:r>
      <w:r w:rsidR="006A34F3" w:rsidRPr="00A95B30">
        <w:rPr>
          <w:rFonts w:hint="eastAsia"/>
          <w:sz w:val="24"/>
          <w:szCs w:val="24"/>
        </w:rPr>
        <w:t>関連</w:t>
      </w:r>
      <w:r w:rsidR="00A17685" w:rsidRPr="00A95B30">
        <w:rPr>
          <w:rFonts w:hint="eastAsia"/>
          <w:sz w:val="24"/>
          <w:szCs w:val="24"/>
        </w:rPr>
        <w:t>事業者を</w:t>
      </w:r>
      <w:r w:rsidR="00EF55C8" w:rsidRPr="00A95B30">
        <w:rPr>
          <w:rFonts w:hint="eastAsia"/>
          <w:sz w:val="24"/>
          <w:szCs w:val="24"/>
        </w:rPr>
        <w:t>、「しりべしサステ</w:t>
      </w:r>
      <w:r w:rsidR="006A34F3" w:rsidRPr="00A95B30">
        <w:rPr>
          <w:rFonts w:hint="eastAsia"/>
          <w:sz w:val="24"/>
          <w:szCs w:val="24"/>
        </w:rPr>
        <w:t>ナブルスタイル</w:t>
      </w:r>
      <w:r w:rsidR="00637358" w:rsidRPr="00A95B30">
        <w:rPr>
          <w:rFonts w:hint="eastAsia"/>
          <w:sz w:val="24"/>
          <w:szCs w:val="24"/>
        </w:rPr>
        <w:t>取組企業</w:t>
      </w:r>
      <w:r w:rsidR="006A34F3" w:rsidRPr="00A95B30">
        <w:rPr>
          <w:rFonts w:hint="eastAsia"/>
          <w:sz w:val="24"/>
          <w:szCs w:val="24"/>
        </w:rPr>
        <w:t>」（以下「</w:t>
      </w:r>
      <w:r w:rsidR="00637358" w:rsidRPr="00A95B30">
        <w:rPr>
          <w:rFonts w:hint="eastAsia"/>
          <w:sz w:val="24"/>
          <w:szCs w:val="24"/>
        </w:rPr>
        <w:t>取組企業</w:t>
      </w:r>
      <w:r w:rsidR="006A34F3" w:rsidRPr="00A95B30">
        <w:rPr>
          <w:rFonts w:hint="eastAsia"/>
          <w:sz w:val="24"/>
          <w:szCs w:val="24"/>
        </w:rPr>
        <w:t>」という。）として登録</w:t>
      </w:r>
      <w:r w:rsidR="00A17685" w:rsidRPr="00A95B30">
        <w:rPr>
          <w:rFonts w:hint="eastAsia"/>
          <w:sz w:val="24"/>
          <w:szCs w:val="24"/>
        </w:rPr>
        <w:t>する。</w:t>
      </w:r>
    </w:p>
    <w:p w:rsidR="00A17685" w:rsidRPr="00A95B30" w:rsidRDefault="006A34F3" w:rsidP="00373CE3">
      <w:pPr>
        <w:pStyle w:val="a3"/>
        <w:numPr>
          <w:ilvl w:val="0"/>
          <w:numId w:val="7"/>
        </w:numPr>
        <w:spacing w:line="360" w:lineRule="exact"/>
        <w:ind w:leftChars="0" w:left="426" w:hanging="425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登録</w:t>
      </w:r>
      <w:r w:rsidR="00A17685" w:rsidRPr="00A95B30">
        <w:rPr>
          <w:rFonts w:hint="eastAsia"/>
          <w:sz w:val="24"/>
          <w:szCs w:val="24"/>
        </w:rPr>
        <w:t>を希望する観光</w:t>
      </w:r>
      <w:r w:rsidRPr="00A95B30">
        <w:rPr>
          <w:rFonts w:hint="eastAsia"/>
          <w:sz w:val="24"/>
          <w:szCs w:val="24"/>
        </w:rPr>
        <w:t>関連</w:t>
      </w:r>
      <w:r w:rsidR="00B62D1D" w:rsidRPr="00A95B30">
        <w:rPr>
          <w:rFonts w:hint="eastAsia"/>
          <w:sz w:val="24"/>
          <w:szCs w:val="24"/>
        </w:rPr>
        <w:t>事業者は、振興局の</w:t>
      </w:r>
      <w:r w:rsidR="00A17685" w:rsidRPr="00A95B30">
        <w:rPr>
          <w:rFonts w:hint="eastAsia"/>
          <w:sz w:val="24"/>
          <w:szCs w:val="24"/>
        </w:rPr>
        <w:t>ホームページ</w:t>
      </w:r>
      <w:r w:rsidR="00B62D1D" w:rsidRPr="00A95B30">
        <w:rPr>
          <w:rFonts w:hint="eastAsia"/>
          <w:sz w:val="24"/>
          <w:szCs w:val="24"/>
        </w:rPr>
        <w:t>に掲載する</w:t>
      </w:r>
      <w:r w:rsidRPr="00A95B30">
        <w:rPr>
          <w:rFonts w:hint="eastAsia"/>
          <w:sz w:val="24"/>
          <w:szCs w:val="24"/>
        </w:rPr>
        <w:t>登録</w:t>
      </w:r>
      <w:r w:rsidR="00373CE3" w:rsidRPr="00A95B30">
        <w:rPr>
          <w:rFonts w:hint="eastAsia"/>
          <w:sz w:val="24"/>
          <w:szCs w:val="24"/>
        </w:rPr>
        <w:t>フォーム</w:t>
      </w:r>
      <w:r w:rsidR="00B62D1D" w:rsidRPr="00A95B30">
        <w:rPr>
          <w:rFonts w:hint="eastAsia"/>
          <w:sz w:val="24"/>
          <w:szCs w:val="24"/>
        </w:rPr>
        <w:t>等</w:t>
      </w:r>
      <w:r w:rsidRPr="00A95B30">
        <w:rPr>
          <w:rFonts w:hint="eastAsia"/>
          <w:sz w:val="24"/>
          <w:szCs w:val="24"/>
        </w:rPr>
        <w:t>により、申し込む。</w:t>
      </w:r>
    </w:p>
    <w:p w:rsidR="00606F35" w:rsidRPr="00A95B30" w:rsidRDefault="00A17685" w:rsidP="00606F35">
      <w:pPr>
        <w:pStyle w:val="a3"/>
        <w:numPr>
          <w:ilvl w:val="0"/>
          <w:numId w:val="7"/>
        </w:numPr>
        <w:spacing w:line="360" w:lineRule="exact"/>
        <w:ind w:leftChars="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振興局は、</w:t>
      </w:r>
      <w:r w:rsidR="006A34F3" w:rsidRPr="00A95B30">
        <w:rPr>
          <w:rFonts w:hint="eastAsia"/>
          <w:sz w:val="24"/>
          <w:szCs w:val="24"/>
        </w:rPr>
        <w:t>申込みのあった</w:t>
      </w:r>
      <w:r w:rsidRPr="00A95B30">
        <w:rPr>
          <w:rFonts w:hint="eastAsia"/>
          <w:sz w:val="24"/>
          <w:szCs w:val="24"/>
        </w:rPr>
        <w:t>内容を確認し、</w:t>
      </w:r>
      <w:r w:rsidR="006A34F3" w:rsidRPr="00A95B30">
        <w:rPr>
          <w:rFonts w:hint="eastAsia"/>
          <w:sz w:val="24"/>
          <w:szCs w:val="24"/>
        </w:rPr>
        <w:t>登録の</w:t>
      </w:r>
      <w:r w:rsidRPr="00A95B30">
        <w:rPr>
          <w:rFonts w:hint="eastAsia"/>
          <w:sz w:val="24"/>
          <w:szCs w:val="24"/>
        </w:rPr>
        <w:t>要件を満たしていると認める</w:t>
      </w:r>
    </w:p>
    <w:p w:rsidR="00A17685" w:rsidRPr="00A95B30" w:rsidRDefault="00A17685" w:rsidP="00606F35">
      <w:pPr>
        <w:spacing w:line="360" w:lineRule="exact"/>
        <w:ind w:left="1" w:firstLineChars="200" w:firstLine="48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ときは、</w:t>
      </w:r>
      <w:r w:rsidR="00637358" w:rsidRPr="00A95B30">
        <w:rPr>
          <w:rFonts w:hint="eastAsia"/>
          <w:sz w:val="24"/>
          <w:szCs w:val="24"/>
        </w:rPr>
        <w:t>取組企業</w:t>
      </w:r>
      <w:r w:rsidRPr="00A95B30">
        <w:rPr>
          <w:rFonts w:hint="eastAsia"/>
          <w:sz w:val="24"/>
          <w:szCs w:val="24"/>
        </w:rPr>
        <w:t>として</w:t>
      </w:r>
      <w:r w:rsidR="006A34F3" w:rsidRPr="00A95B30">
        <w:rPr>
          <w:rFonts w:hint="eastAsia"/>
          <w:sz w:val="24"/>
          <w:szCs w:val="24"/>
        </w:rPr>
        <w:t>登録し</w:t>
      </w:r>
      <w:r w:rsidRPr="00A95B30">
        <w:rPr>
          <w:rFonts w:hint="eastAsia"/>
          <w:sz w:val="24"/>
          <w:szCs w:val="24"/>
        </w:rPr>
        <w:t>、</w:t>
      </w:r>
      <w:r w:rsidR="00BE5981" w:rsidRPr="00A95B30">
        <w:rPr>
          <w:rFonts w:hint="eastAsia"/>
          <w:sz w:val="24"/>
          <w:szCs w:val="24"/>
        </w:rPr>
        <w:t>啓発資材を交付する。</w:t>
      </w:r>
    </w:p>
    <w:p w:rsidR="00A17685" w:rsidRPr="00A95B30" w:rsidRDefault="00A17685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</w:t>
      </w:r>
    </w:p>
    <w:p w:rsidR="00911C2A" w:rsidRPr="00A95B30" w:rsidRDefault="008277AE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５　</w:t>
      </w:r>
      <w:r w:rsidR="00637358" w:rsidRPr="00A95B30">
        <w:rPr>
          <w:rFonts w:hint="eastAsia"/>
          <w:sz w:val="24"/>
          <w:szCs w:val="24"/>
        </w:rPr>
        <w:t>取組企業</w:t>
      </w:r>
      <w:r w:rsidR="00911C2A" w:rsidRPr="00A95B30">
        <w:rPr>
          <w:rFonts w:hint="eastAsia"/>
          <w:sz w:val="24"/>
          <w:szCs w:val="24"/>
        </w:rPr>
        <w:t>の役割</w:t>
      </w:r>
    </w:p>
    <w:p w:rsidR="007F1ACD" w:rsidRPr="00A95B30" w:rsidRDefault="00637358" w:rsidP="00F95791">
      <w:pPr>
        <w:spacing w:line="360" w:lineRule="exact"/>
        <w:ind w:leftChars="100" w:left="210" w:firstLineChars="100" w:firstLine="24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取組企業</w:t>
      </w:r>
      <w:r w:rsidR="007F1ACD" w:rsidRPr="00A95B30">
        <w:rPr>
          <w:rFonts w:hint="eastAsia"/>
          <w:sz w:val="24"/>
          <w:szCs w:val="24"/>
        </w:rPr>
        <w:t>は、</w:t>
      </w:r>
      <w:r w:rsidR="00E93FED" w:rsidRPr="00A95B30">
        <w:rPr>
          <w:rFonts w:hint="eastAsia"/>
          <w:sz w:val="24"/>
          <w:szCs w:val="24"/>
        </w:rPr>
        <w:t>取り組む</w:t>
      </w:r>
      <w:r w:rsidR="008277AE" w:rsidRPr="00A95B30">
        <w:rPr>
          <w:rFonts w:hint="eastAsia"/>
          <w:sz w:val="24"/>
          <w:szCs w:val="24"/>
        </w:rPr>
        <w:t>項目の</w:t>
      </w:r>
      <w:r w:rsidR="00B62D1D" w:rsidRPr="00A95B30">
        <w:rPr>
          <w:rFonts w:hint="eastAsia"/>
          <w:sz w:val="24"/>
          <w:szCs w:val="24"/>
        </w:rPr>
        <w:t>実践</w:t>
      </w:r>
      <w:r w:rsidR="007F1ACD" w:rsidRPr="00A95B30">
        <w:rPr>
          <w:rFonts w:hint="eastAsia"/>
          <w:sz w:val="24"/>
          <w:szCs w:val="24"/>
        </w:rPr>
        <w:t>に努めるとともに、観光客に対し、</w:t>
      </w:r>
      <w:r w:rsidR="00A354F0" w:rsidRPr="00A95B30">
        <w:rPr>
          <w:rFonts w:hint="eastAsia"/>
          <w:sz w:val="24"/>
          <w:szCs w:val="24"/>
        </w:rPr>
        <w:t>啓発</w:t>
      </w:r>
      <w:r w:rsidR="00B62D1D" w:rsidRPr="00A95B30">
        <w:rPr>
          <w:rFonts w:hint="eastAsia"/>
          <w:sz w:val="24"/>
          <w:szCs w:val="24"/>
        </w:rPr>
        <w:t>資材</w:t>
      </w:r>
      <w:r w:rsidR="00F95791" w:rsidRPr="00A95B30">
        <w:rPr>
          <w:rFonts w:hint="eastAsia"/>
          <w:sz w:val="24"/>
          <w:szCs w:val="24"/>
        </w:rPr>
        <w:t>の</w:t>
      </w:r>
      <w:r w:rsidR="00A354F0" w:rsidRPr="00A95B30">
        <w:rPr>
          <w:rFonts w:hint="eastAsia"/>
          <w:sz w:val="24"/>
          <w:szCs w:val="24"/>
        </w:rPr>
        <w:t>活用等により、</w:t>
      </w:r>
      <w:r w:rsidR="006A34F3" w:rsidRPr="00A95B30">
        <w:rPr>
          <w:rFonts w:hint="eastAsia"/>
          <w:sz w:val="24"/>
          <w:szCs w:val="24"/>
        </w:rPr>
        <w:t>３（２）に掲げる</w:t>
      </w:r>
      <w:r w:rsidR="00A354F0" w:rsidRPr="00A95B30">
        <w:rPr>
          <w:rFonts w:hint="eastAsia"/>
          <w:sz w:val="24"/>
          <w:szCs w:val="24"/>
        </w:rPr>
        <w:t>取組の周知に努める。</w:t>
      </w:r>
    </w:p>
    <w:p w:rsidR="004B1C64" w:rsidRPr="00A95B30" w:rsidRDefault="004B1C64" w:rsidP="00055051">
      <w:pPr>
        <w:spacing w:line="360" w:lineRule="exact"/>
        <w:rPr>
          <w:sz w:val="24"/>
          <w:szCs w:val="24"/>
        </w:rPr>
      </w:pP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６　</w:t>
      </w:r>
      <w:r w:rsidR="00637358" w:rsidRPr="00A95B30">
        <w:rPr>
          <w:rFonts w:hint="eastAsia"/>
          <w:sz w:val="24"/>
          <w:szCs w:val="24"/>
        </w:rPr>
        <w:t>取組企業</w:t>
      </w:r>
      <w:r w:rsidRPr="00A95B30">
        <w:rPr>
          <w:rFonts w:hint="eastAsia"/>
          <w:sz w:val="24"/>
          <w:szCs w:val="24"/>
        </w:rPr>
        <w:t>の情報発信</w:t>
      </w:r>
    </w:p>
    <w:p w:rsidR="004B1C64" w:rsidRPr="00A95B30" w:rsidRDefault="008277AE" w:rsidP="00DA1AF6">
      <w:pPr>
        <w:spacing w:line="360" w:lineRule="exact"/>
        <w:ind w:left="240" w:hangingChars="100" w:hanging="24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　振興局は、</w:t>
      </w:r>
      <w:r w:rsidR="00637358" w:rsidRPr="00A95B30">
        <w:rPr>
          <w:rFonts w:hint="eastAsia"/>
          <w:sz w:val="24"/>
          <w:szCs w:val="24"/>
        </w:rPr>
        <w:t>取組企業</w:t>
      </w:r>
      <w:r w:rsidR="004B1C64" w:rsidRPr="00A95B30">
        <w:rPr>
          <w:rFonts w:hint="eastAsia"/>
          <w:sz w:val="24"/>
          <w:szCs w:val="24"/>
        </w:rPr>
        <w:t>の情報及び取組内容</w:t>
      </w:r>
      <w:r w:rsidR="00DA1AF6" w:rsidRPr="00A95B30">
        <w:rPr>
          <w:rFonts w:hint="eastAsia"/>
          <w:sz w:val="24"/>
          <w:szCs w:val="24"/>
        </w:rPr>
        <w:t>について</w:t>
      </w:r>
      <w:r w:rsidR="004B1C64" w:rsidRPr="00A95B30">
        <w:rPr>
          <w:rFonts w:hint="eastAsia"/>
          <w:sz w:val="24"/>
          <w:szCs w:val="24"/>
        </w:rPr>
        <w:t>、振興局のホームページへの掲載その他の方法により、広く情報発信を行う。</w:t>
      </w: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</w:p>
    <w:p w:rsidR="00911C2A" w:rsidRPr="00A95B30" w:rsidRDefault="00911C2A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７　</w:t>
      </w:r>
      <w:r w:rsidR="000B31AD" w:rsidRPr="00A95B30">
        <w:rPr>
          <w:rFonts w:hint="eastAsia"/>
          <w:sz w:val="24"/>
          <w:szCs w:val="24"/>
        </w:rPr>
        <w:t>登録</w:t>
      </w:r>
      <w:r w:rsidRPr="00A95B30">
        <w:rPr>
          <w:rFonts w:hint="eastAsia"/>
          <w:sz w:val="24"/>
          <w:szCs w:val="24"/>
        </w:rPr>
        <w:t>の変更・中止</w:t>
      </w:r>
    </w:p>
    <w:p w:rsidR="00975F92" w:rsidRPr="00A95B30" w:rsidRDefault="00637358" w:rsidP="002261C9">
      <w:pPr>
        <w:pStyle w:val="a3"/>
        <w:numPr>
          <w:ilvl w:val="0"/>
          <w:numId w:val="5"/>
        </w:numPr>
        <w:spacing w:line="360" w:lineRule="exact"/>
        <w:ind w:leftChars="0" w:left="424" w:hanging="424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取組企業</w:t>
      </w:r>
      <w:r w:rsidR="00975F92" w:rsidRPr="00A95B30">
        <w:rPr>
          <w:rFonts w:hint="eastAsia"/>
          <w:sz w:val="24"/>
          <w:szCs w:val="24"/>
        </w:rPr>
        <w:t>は、取組内容の変更があったときは、</w:t>
      </w:r>
      <w:r w:rsidR="0028770E" w:rsidRPr="00A95B30">
        <w:rPr>
          <w:rFonts w:hint="eastAsia"/>
          <w:sz w:val="24"/>
          <w:szCs w:val="24"/>
        </w:rPr>
        <w:t>登録</w:t>
      </w:r>
      <w:r w:rsidR="00975F92" w:rsidRPr="00A95B30">
        <w:rPr>
          <w:rFonts w:hint="eastAsia"/>
          <w:sz w:val="24"/>
          <w:szCs w:val="24"/>
        </w:rPr>
        <w:t>フォー</w:t>
      </w:r>
      <w:r w:rsidR="00373CE3" w:rsidRPr="00A95B30">
        <w:rPr>
          <w:rFonts w:hint="eastAsia"/>
          <w:sz w:val="24"/>
          <w:szCs w:val="24"/>
        </w:rPr>
        <w:t>ム</w:t>
      </w:r>
      <w:r w:rsidR="000B31AD" w:rsidRPr="00A95B30">
        <w:rPr>
          <w:rFonts w:hint="eastAsia"/>
          <w:sz w:val="24"/>
          <w:szCs w:val="24"/>
        </w:rPr>
        <w:t>等</w:t>
      </w:r>
      <w:r w:rsidR="002C41A9" w:rsidRPr="00A95B30">
        <w:rPr>
          <w:rFonts w:hint="eastAsia"/>
          <w:sz w:val="24"/>
          <w:szCs w:val="24"/>
        </w:rPr>
        <w:t>により振興局に連絡</w:t>
      </w:r>
      <w:r w:rsidR="0028770E" w:rsidRPr="00A95B30">
        <w:rPr>
          <w:rFonts w:hint="eastAsia"/>
          <w:sz w:val="24"/>
          <w:szCs w:val="24"/>
        </w:rPr>
        <w:t>するものと</w:t>
      </w:r>
      <w:r w:rsidR="002261C9" w:rsidRPr="00A95B30">
        <w:rPr>
          <w:rFonts w:hint="eastAsia"/>
          <w:sz w:val="24"/>
          <w:szCs w:val="24"/>
        </w:rPr>
        <w:t>し、振興局は</w:t>
      </w:r>
      <w:r w:rsidR="003462D5" w:rsidRPr="00A95B30">
        <w:rPr>
          <w:rFonts w:hint="eastAsia"/>
          <w:sz w:val="24"/>
          <w:szCs w:val="24"/>
        </w:rPr>
        <w:t>その内容を確認の上、</w:t>
      </w:r>
      <w:r w:rsidR="002261C9" w:rsidRPr="00A95B30">
        <w:rPr>
          <w:rFonts w:hint="eastAsia"/>
          <w:sz w:val="24"/>
          <w:szCs w:val="24"/>
        </w:rPr>
        <w:t>登録内容を変更する。</w:t>
      </w:r>
    </w:p>
    <w:p w:rsidR="00A320F9" w:rsidRPr="00A95B30" w:rsidRDefault="00A320F9" w:rsidP="00637358">
      <w:pPr>
        <w:pStyle w:val="a3"/>
        <w:numPr>
          <w:ilvl w:val="0"/>
          <w:numId w:val="5"/>
        </w:numPr>
        <w:spacing w:line="360" w:lineRule="exact"/>
        <w:ind w:leftChars="0" w:left="420" w:hangingChars="175" w:hanging="420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振興局は、</w:t>
      </w:r>
      <w:r w:rsidR="00637358" w:rsidRPr="00A95B30">
        <w:rPr>
          <w:rFonts w:hint="eastAsia"/>
          <w:sz w:val="24"/>
          <w:szCs w:val="24"/>
        </w:rPr>
        <w:t>取組企業</w:t>
      </w:r>
      <w:r w:rsidR="0028770E" w:rsidRPr="00A95B30">
        <w:rPr>
          <w:rFonts w:hint="eastAsia"/>
          <w:sz w:val="24"/>
          <w:szCs w:val="24"/>
        </w:rPr>
        <w:t>が</w:t>
      </w:r>
      <w:r w:rsidR="002261C9" w:rsidRPr="00A95B30">
        <w:rPr>
          <w:rFonts w:hint="eastAsia"/>
          <w:sz w:val="24"/>
          <w:szCs w:val="24"/>
        </w:rPr>
        <w:t>事業を廃止したとき、</w:t>
      </w:r>
      <w:r w:rsidR="0028770E" w:rsidRPr="00A95B30">
        <w:rPr>
          <w:rFonts w:hint="eastAsia"/>
          <w:sz w:val="24"/>
          <w:szCs w:val="24"/>
        </w:rPr>
        <w:t>登録の</w:t>
      </w:r>
      <w:r w:rsidRPr="00A95B30">
        <w:rPr>
          <w:rFonts w:hint="eastAsia"/>
          <w:sz w:val="24"/>
          <w:szCs w:val="24"/>
        </w:rPr>
        <w:t>要件を満た</w:t>
      </w:r>
      <w:r w:rsidR="0028770E" w:rsidRPr="00A95B30">
        <w:rPr>
          <w:rFonts w:hint="eastAsia"/>
          <w:sz w:val="24"/>
          <w:szCs w:val="24"/>
        </w:rPr>
        <w:t>していない</w:t>
      </w:r>
      <w:r w:rsidR="00637358" w:rsidRPr="00A95B30">
        <w:rPr>
          <w:rFonts w:hint="eastAsia"/>
          <w:sz w:val="24"/>
          <w:szCs w:val="24"/>
        </w:rPr>
        <w:t>とき</w:t>
      </w:r>
      <w:r w:rsidR="00967E41" w:rsidRPr="00A95B30">
        <w:rPr>
          <w:rFonts w:hint="eastAsia"/>
          <w:sz w:val="24"/>
          <w:szCs w:val="24"/>
        </w:rPr>
        <w:t>又は</w:t>
      </w:r>
      <w:r w:rsidR="0028770E" w:rsidRPr="00A95B30">
        <w:rPr>
          <w:rFonts w:hint="eastAsia"/>
          <w:sz w:val="24"/>
          <w:szCs w:val="24"/>
        </w:rPr>
        <w:t>信用を失墜するなど</w:t>
      </w:r>
      <w:r w:rsidR="00602A28">
        <w:rPr>
          <w:rFonts w:hint="eastAsia"/>
          <w:sz w:val="24"/>
          <w:szCs w:val="24"/>
        </w:rPr>
        <w:t>取組</w:t>
      </w:r>
      <w:r w:rsidR="000B31AD" w:rsidRPr="00A95B30">
        <w:rPr>
          <w:rFonts w:hint="eastAsia"/>
          <w:sz w:val="24"/>
          <w:szCs w:val="24"/>
        </w:rPr>
        <w:t>企業</w:t>
      </w:r>
      <w:r w:rsidR="0028770E" w:rsidRPr="00A95B30">
        <w:rPr>
          <w:rFonts w:hint="eastAsia"/>
          <w:sz w:val="24"/>
          <w:szCs w:val="24"/>
        </w:rPr>
        <w:t>として適当でないと判断したときは、登録を</w:t>
      </w:r>
      <w:r w:rsidR="000B31AD" w:rsidRPr="00A95B30">
        <w:rPr>
          <w:rFonts w:hint="eastAsia"/>
          <w:sz w:val="24"/>
          <w:szCs w:val="24"/>
        </w:rPr>
        <w:t>中止</w:t>
      </w:r>
      <w:r w:rsidR="0028770E" w:rsidRPr="00A95B30">
        <w:rPr>
          <w:rFonts w:hint="eastAsia"/>
          <w:sz w:val="24"/>
          <w:szCs w:val="24"/>
        </w:rPr>
        <w:t>することができる。</w:t>
      </w:r>
    </w:p>
    <w:p w:rsidR="00945B0C" w:rsidRPr="00A95B30" w:rsidRDefault="00945B0C" w:rsidP="00055051">
      <w:pPr>
        <w:spacing w:line="360" w:lineRule="exact"/>
        <w:rPr>
          <w:sz w:val="24"/>
          <w:szCs w:val="24"/>
        </w:rPr>
      </w:pPr>
    </w:p>
    <w:p w:rsidR="002C41A9" w:rsidRPr="00A95B30" w:rsidRDefault="00945B0C" w:rsidP="00055051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８</w:t>
      </w:r>
      <w:r w:rsidR="002C41A9" w:rsidRPr="00A95B30">
        <w:rPr>
          <w:rFonts w:hint="eastAsia"/>
          <w:sz w:val="24"/>
          <w:szCs w:val="24"/>
        </w:rPr>
        <w:t xml:space="preserve">　</w:t>
      </w:r>
      <w:r w:rsidR="00A320F9" w:rsidRPr="00A95B30">
        <w:rPr>
          <w:rFonts w:hint="eastAsia"/>
          <w:sz w:val="24"/>
          <w:szCs w:val="24"/>
        </w:rPr>
        <w:t>その他</w:t>
      </w:r>
    </w:p>
    <w:p w:rsidR="00A320F9" w:rsidRPr="00A95B30" w:rsidRDefault="000B31AD" w:rsidP="00737EC5">
      <w:pPr>
        <w:pStyle w:val="a3"/>
        <w:numPr>
          <w:ilvl w:val="0"/>
          <w:numId w:val="6"/>
        </w:numPr>
        <w:spacing w:line="360" w:lineRule="exact"/>
        <w:ind w:leftChars="0" w:left="567" w:hanging="567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本事業</w:t>
      </w:r>
      <w:r w:rsidR="00A320F9" w:rsidRPr="00A95B30">
        <w:rPr>
          <w:rFonts w:hint="eastAsia"/>
          <w:sz w:val="24"/>
          <w:szCs w:val="24"/>
        </w:rPr>
        <w:t>に</w:t>
      </w:r>
      <w:r w:rsidR="0028770E" w:rsidRPr="00A95B30">
        <w:rPr>
          <w:rFonts w:hint="eastAsia"/>
          <w:sz w:val="24"/>
          <w:szCs w:val="24"/>
        </w:rPr>
        <w:t>係る</w:t>
      </w:r>
      <w:r w:rsidR="00A320F9" w:rsidRPr="00A95B30">
        <w:rPr>
          <w:rFonts w:hint="eastAsia"/>
          <w:sz w:val="24"/>
          <w:szCs w:val="24"/>
        </w:rPr>
        <w:t>事務は、後志総合振興局産業振興部商工労働観光課観光戦略室が行う。</w:t>
      </w:r>
    </w:p>
    <w:p w:rsidR="00A320F9" w:rsidRPr="00A95B30" w:rsidRDefault="00A320F9" w:rsidP="00737EC5">
      <w:pPr>
        <w:pStyle w:val="a3"/>
        <w:numPr>
          <w:ilvl w:val="0"/>
          <w:numId w:val="6"/>
        </w:numPr>
        <w:spacing w:line="360" w:lineRule="exact"/>
        <w:ind w:leftChars="0" w:left="709" w:hanging="709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>この要領に定めるもののほか、必要な事項は、振興局が別に定める。</w:t>
      </w:r>
    </w:p>
    <w:p w:rsidR="00A320F9" w:rsidRPr="00A95B30" w:rsidRDefault="00A320F9" w:rsidP="00A320F9">
      <w:pPr>
        <w:spacing w:line="360" w:lineRule="exact"/>
        <w:rPr>
          <w:sz w:val="24"/>
          <w:szCs w:val="24"/>
        </w:rPr>
      </w:pPr>
    </w:p>
    <w:p w:rsidR="00A320F9" w:rsidRPr="00A95B30" w:rsidRDefault="00A320F9" w:rsidP="00A320F9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附</w:t>
      </w:r>
      <w:r w:rsidR="00207EA6" w:rsidRPr="00A95B30">
        <w:rPr>
          <w:rFonts w:hint="eastAsia"/>
          <w:sz w:val="24"/>
          <w:szCs w:val="24"/>
        </w:rPr>
        <w:t xml:space="preserve">　</w:t>
      </w:r>
      <w:r w:rsidRPr="00A95B30">
        <w:rPr>
          <w:rFonts w:hint="eastAsia"/>
          <w:sz w:val="24"/>
          <w:szCs w:val="24"/>
        </w:rPr>
        <w:t>則</w:t>
      </w:r>
    </w:p>
    <w:p w:rsidR="00A320F9" w:rsidRPr="00A95B30" w:rsidRDefault="00A320F9" w:rsidP="00A320F9">
      <w:pPr>
        <w:spacing w:line="360" w:lineRule="exact"/>
        <w:rPr>
          <w:sz w:val="24"/>
          <w:szCs w:val="24"/>
        </w:rPr>
      </w:pPr>
      <w:r w:rsidRPr="00A95B30">
        <w:rPr>
          <w:rFonts w:hint="eastAsia"/>
          <w:sz w:val="24"/>
          <w:szCs w:val="24"/>
        </w:rPr>
        <w:t xml:space="preserve">　この要領は、令和４年</w:t>
      </w:r>
      <w:r w:rsidR="003C265C">
        <w:rPr>
          <w:rFonts w:hint="eastAsia"/>
          <w:sz w:val="24"/>
          <w:szCs w:val="24"/>
        </w:rPr>
        <w:t>12</w:t>
      </w:r>
      <w:r w:rsidRPr="00A95B30">
        <w:rPr>
          <w:rFonts w:hint="eastAsia"/>
          <w:sz w:val="24"/>
          <w:szCs w:val="24"/>
        </w:rPr>
        <w:t>月</w:t>
      </w:r>
      <w:r w:rsidR="003C265C">
        <w:rPr>
          <w:rFonts w:hint="eastAsia"/>
          <w:sz w:val="24"/>
          <w:szCs w:val="24"/>
        </w:rPr>
        <w:t>13</w:t>
      </w:r>
      <w:bookmarkStart w:id="0" w:name="_GoBack"/>
      <w:bookmarkEnd w:id="0"/>
      <w:r w:rsidRPr="00A95B30">
        <w:rPr>
          <w:rFonts w:hint="eastAsia"/>
          <w:sz w:val="24"/>
          <w:szCs w:val="24"/>
        </w:rPr>
        <w:t>日から施行する。</w:t>
      </w:r>
    </w:p>
    <w:p w:rsidR="00945B0C" w:rsidRPr="00945B0C" w:rsidRDefault="002C41A9" w:rsidP="0005505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5B0C">
        <w:rPr>
          <w:rFonts w:hint="eastAsia"/>
          <w:sz w:val="24"/>
          <w:szCs w:val="24"/>
        </w:rPr>
        <w:t xml:space="preserve">　</w:t>
      </w:r>
    </w:p>
    <w:p w:rsidR="00911C2A" w:rsidRPr="00911C2A" w:rsidRDefault="00911C2A" w:rsidP="00055051">
      <w:pPr>
        <w:spacing w:line="360" w:lineRule="exact"/>
        <w:rPr>
          <w:sz w:val="24"/>
          <w:szCs w:val="24"/>
        </w:rPr>
      </w:pPr>
      <w:r w:rsidRPr="00911C2A">
        <w:rPr>
          <w:rFonts w:hint="eastAsia"/>
          <w:sz w:val="24"/>
          <w:szCs w:val="24"/>
        </w:rPr>
        <w:t xml:space="preserve">　</w:t>
      </w:r>
    </w:p>
    <w:sectPr w:rsidR="00911C2A" w:rsidRPr="00911C2A" w:rsidSect="00D66F8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8F" w:rsidRDefault="00DE688F" w:rsidP="008344CF">
      <w:r>
        <w:separator/>
      </w:r>
    </w:p>
  </w:endnote>
  <w:endnote w:type="continuationSeparator" w:id="0">
    <w:p w:rsidR="00DE688F" w:rsidRDefault="00DE688F" w:rsidP="008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8F" w:rsidRDefault="00DE688F" w:rsidP="008344CF">
      <w:r>
        <w:separator/>
      </w:r>
    </w:p>
  </w:footnote>
  <w:footnote w:type="continuationSeparator" w:id="0">
    <w:p w:rsidR="00DE688F" w:rsidRDefault="00DE688F" w:rsidP="0083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6F8"/>
    <w:multiLevelType w:val="hybridMultilevel"/>
    <w:tmpl w:val="AF5A847C"/>
    <w:lvl w:ilvl="0" w:tplc="0FAA42B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5E74"/>
    <w:multiLevelType w:val="hybridMultilevel"/>
    <w:tmpl w:val="C2608168"/>
    <w:lvl w:ilvl="0" w:tplc="E342DC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A1505"/>
    <w:multiLevelType w:val="hybridMultilevel"/>
    <w:tmpl w:val="415E2C64"/>
    <w:lvl w:ilvl="0" w:tplc="61820B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445385"/>
    <w:multiLevelType w:val="hybridMultilevel"/>
    <w:tmpl w:val="A5DEBC6C"/>
    <w:lvl w:ilvl="0" w:tplc="09C87D0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EF22878"/>
    <w:multiLevelType w:val="hybridMultilevel"/>
    <w:tmpl w:val="21BE02A0"/>
    <w:lvl w:ilvl="0" w:tplc="E73EB840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6F6F437E"/>
    <w:multiLevelType w:val="hybridMultilevel"/>
    <w:tmpl w:val="E7680998"/>
    <w:lvl w:ilvl="0" w:tplc="B756C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A92745"/>
    <w:multiLevelType w:val="hybridMultilevel"/>
    <w:tmpl w:val="E1505872"/>
    <w:lvl w:ilvl="0" w:tplc="0BA2CB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B6"/>
    <w:rsid w:val="00014053"/>
    <w:rsid w:val="00055051"/>
    <w:rsid w:val="000B31AD"/>
    <w:rsid w:val="00121EF9"/>
    <w:rsid w:val="001609E3"/>
    <w:rsid w:val="001F66B3"/>
    <w:rsid w:val="00207EA6"/>
    <w:rsid w:val="0021503A"/>
    <w:rsid w:val="002261C9"/>
    <w:rsid w:val="00240DAE"/>
    <w:rsid w:val="00242C3E"/>
    <w:rsid w:val="0028770E"/>
    <w:rsid w:val="002931B6"/>
    <w:rsid w:val="002B6C1F"/>
    <w:rsid w:val="002C41A9"/>
    <w:rsid w:val="002C4CED"/>
    <w:rsid w:val="002F7027"/>
    <w:rsid w:val="003462D5"/>
    <w:rsid w:val="00373CE3"/>
    <w:rsid w:val="003817C3"/>
    <w:rsid w:val="00386239"/>
    <w:rsid w:val="00387136"/>
    <w:rsid w:val="003C265C"/>
    <w:rsid w:val="003C6922"/>
    <w:rsid w:val="004854D7"/>
    <w:rsid w:val="004B1C64"/>
    <w:rsid w:val="004D27B6"/>
    <w:rsid w:val="00546A9B"/>
    <w:rsid w:val="0055438B"/>
    <w:rsid w:val="005C2EF2"/>
    <w:rsid w:val="00602A28"/>
    <w:rsid w:val="00606F35"/>
    <w:rsid w:val="00614669"/>
    <w:rsid w:val="00635673"/>
    <w:rsid w:val="00635866"/>
    <w:rsid w:val="00637358"/>
    <w:rsid w:val="006408B4"/>
    <w:rsid w:val="006A34F3"/>
    <w:rsid w:val="006C3AE8"/>
    <w:rsid w:val="006C5D6C"/>
    <w:rsid w:val="006D0208"/>
    <w:rsid w:val="006D581A"/>
    <w:rsid w:val="00703D02"/>
    <w:rsid w:val="007301E6"/>
    <w:rsid w:val="00737EC5"/>
    <w:rsid w:val="00741392"/>
    <w:rsid w:val="00756C16"/>
    <w:rsid w:val="00762582"/>
    <w:rsid w:val="00790663"/>
    <w:rsid w:val="00791961"/>
    <w:rsid w:val="007F1ACD"/>
    <w:rsid w:val="007F211F"/>
    <w:rsid w:val="008277AE"/>
    <w:rsid w:val="008344CF"/>
    <w:rsid w:val="0085142C"/>
    <w:rsid w:val="00903206"/>
    <w:rsid w:val="00911C2A"/>
    <w:rsid w:val="00945B0C"/>
    <w:rsid w:val="00967E41"/>
    <w:rsid w:val="00975F92"/>
    <w:rsid w:val="009C6E82"/>
    <w:rsid w:val="00A140BA"/>
    <w:rsid w:val="00A17685"/>
    <w:rsid w:val="00A22D03"/>
    <w:rsid w:val="00A320F9"/>
    <w:rsid w:val="00A354F0"/>
    <w:rsid w:val="00A35A3D"/>
    <w:rsid w:val="00A61662"/>
    <w:rsid w:val="00A74EC1"/>
    <w:rsid w:val="00A95B30"/>
    <w:rsid w:val="00AA5F89"/>
    <w:rsid w:val="00AA7FE7"/>
    <w:rsid w:val="00AE7DFA"/>
    <w:rsid w:val="00B336CC"/>
    <w:rsid w:val="00B62D1D"/>
    <w:rsid w:val="00BE5981"/>
    <w:rsid w:val="00C46D45"/>
    <w:rsid w:val="00C5244B"/>
    <w:rsid w:val="00D0560D"/>
    <w:rsid w:val="00DA1AF6"/>
    <w:rsid w:val="00DD6064"/>
    <w:rsid w:val="00DD69CB"/>
    <w:rsid w:val="00DD7E95"/>
    <w:rsid w:val="00DE688F"/>
    <w:rsid w:val="00E02CE6"/>
    <w:rsid w:val="00E424A1"/>
    <w:rsid w:val="00E45578"/>
    <w:rsid w:val="00E93FED"/>
    <w:rsid w:val="00EF55C8"/>
    <w:rsid w:val="00EF7883"/>
    <w:rsid w:val="00F95791"/>
    <w:rsid w:val="00FB2AA6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21038C"/>
  <w15:chartTrackingRefBased/>
  <w15:docId w15:val="{A05D77E1-AE96-42A9-998A-4D58D893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4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4CF"/>
  </w:style>
  <w:style w:type="paragraph" w:styleId="a6">
    <w:name w:val="footer"/>
    <w:basedOn w:val="a"/>
    <w:link w:val="a7"/>
    <w:uiPriority w:val="99"/>
    <w:unhideWhenUsed/>
    <w:rsid w:val="00834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4CF"/>
  </w:style>
  <w:style w:type="character" w:styleId="a8">
    <w:name w:val="annotation reference"/>
    <w:basedOn w:val="a0"/>
    <w:uiPriority w:val="99"/>
    <w:semiHidden/>
    <w:unhideWhenUsed/>
    <w:rsid w:val="007F1A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1A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1A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1A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1A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1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長島＿正己</dc:creator>
  <cp:keywords/>
  <dc:description/>
  <cp:lastModifiedBy>渡邉＿美香</cp:lastModifiedBy>
  <cp:revision>2</cp:revision>
  <cp:lastPrinted>2022-11-14T09:01:00Z</cp:lastPrinted>
  <dcterms:created xsi:type="dcterms:W3CDTF">2022-12-14T02:10:00Z</dcterms:created>
  <dcterms:modified xsi:type="dcterms:W3CDTF">2022-12-14T02:10:00Z</dcterms:modified>
</cp:coreProperties>
</file>